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  <w:t>Аннотация: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Данный документ несет в себе цель максимально сжато изложить основные моменты настройки а также использования АРМ Врача Стоматолога. Данное руководство не является исчерпывающей инструкцией к АРМ и не отображает все возможные способы и методы настройки данного арм а лишь описывает один основной. </w:t>
      </w:r>
    </w:p>
    <w:p>
      <w:pPr>
        <w:pStyle w:val="Normal"/>
        <w:bidi w:val="0"/>
        <w:jc w:val="both"/>
        <w:rPr>
          <w:lang w:val="ru-RU"/>
        </w:rPr>
      </w:pPr>
      <w:r>
        <w:rPr>
          <w:lang w:val="ru-RU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bidi w:val="0"/>
            <w:ind w:hanging="0" w:start="0"/>
            <w:jc w:val="start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Оглавление</w:t>
          </w:r>
        </w:p>
        <w:p>
          <w:pPr>
            <w:pStyle w:val="TOC2"/>
            <w:bidi w:val="0"/>
            <w:jc w:val="start"/>
            <w:rPr/>
          </w:pPr>
          <w:r>
            <w:fldChar w:fldCharType="begin"/>
          </w:r>
          <w:r>
            <w:rPr>
              <w:rStyle w:val="Style12"/>
            </w:rPr>
            <w:instrText xml:space="preserve"> TOC \f \o "1-9" \h</w:instrText>
          </w:r>
          <w:r>
            <w:rPr>
              <w:rStyle w:val="Style12"/>
            </w:rPr>
            <w:fldChar w:fldCharType="separate"/>
          </w:r>
          <w:hyperlink w:anchor="__RefHeading___Toc2580_2816744139">
            <w:r>
              <w:rPr>
                <w:rStyle w:val="Style12"/>
              </w:rPr>
              <w:t>1. Краткая выжимка, условные обозначения, определения</w:t>
              <w:tab/>
              <w:t>1</w:t>
            </w:r>
          </w:hyperlink>
        </w:p>
        <w:p>
          <w:pPr>
            <w:pStyle w:val="TOC2"/>
            <w:bidi w:val="0"/>
            <w:jc w:val="start"/>
            <w:rPr/>
          </w:pPr>
          <w:hyperlink w:anchor="__RefHeading___Toc513_3881780629">
            <w:r>
              <w:rPr>
                <w:rStyle w:val="Style12"/>
              </w:rPr>
              <w:t>2. Настройка пункта «Соотношения и ограничения»</w:t>
              <w:tab/>
              <w:t>2</w:t>
            </w:r>
          </w:hyperlink>
        </w:p>
        <w:p>
          <w:pPr>
            <w:pStyle w:val="TOC2"/>
            <w:bidi w:val="0"/>
            <w:jc w:val="start"/>
            <w:rPr/>
          </w:pPr>
          <w:hyperlink w:anchor="__RefHeading___Toc515_3881780629">
            <w:r>
              <w:rPr>
                <w:rStyle w:val="Style12"/>
              </w:rPr>
              <w:t>3. Настройка пункта «Настройка АРМ Врача стоматолога»</w:t>
              <w:tab/>
              <w:t>3</w:t>
            </w:r>
          </w:hyperlink>
        </w:p>
        <w:p>
          <w:pPr>
            <w:pStyle w:val="TOC2"/>
            <w:bidi w:val="0"/>
            <w:jc w:val="start"/>
            <w:rPr/>
          </w:pPr>
          <w:hyperlink w:anchor="__RefHeading___Toc517_3881780629">
            <w:r>
              <w:rPr>
                <w:rStyle w:val="Style12"/>
              </w:rPr>
              <w:t>4. Пример заполнения случая</w:t>
              <w:tab/>
              <w:t>5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ing3"/>
        <w:bidi w:val="0"/>
        <w:ind w:hanging="0" w:start="0"/>
        <w:jc w:val="start"/>
        <w:rPr/>
      </w:pPr>
      <w:bookmarkStart w:id="0" w:name="__RefHeading___Toc2580_2816744139"/>
      <w:bookmarkEnd w:id="0"/>
      <w:r>
        <w:rPr/>
        <w:tab/>
        <w:t>1. Краткая выжимка, условные обозначения, определения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Основная настройка АРМа врача стоматолога производится через два пункта АРМ Администратора, это «Соотношения и ограничения» и «Настройка АРМ Врача стоматолога».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«Соотношения и ограничения»</w:t>
      </w:r>
      <w:r>
        <w:rPr>
          <w:rFonts w:ascii="Times New Roman" w:hAnsi="Times New Roman"/>
          <w:sz w:val="24"/>
          <w:szCs w:val="24"/>
        </w:rPr>
        <w:t xml:space="preserve"> отвечает за то, какие услуги будет видеть врач определенной специальности и какие диагнозы он сможет выставить. </w:t>
      </w:r>
      <w:r>
        <w:rPr>
          <w:rFonts w:ascii="Times New Roman" w:hAnsi="Times New Roman"/>
          <w:b/>
          <w:bCs/>
          <w:sz w:val="24"/>
          <w:szCs w:val="24"/>
        </w:rPr>
        <w:t>«Настройка АРМ врача стоматолога»</w:t>
      </w:r>
      <w:r>
        <w:rPr>
          <w:rFonts w:ascii="Times New Roman" w:hAnsi="Times New Roman"/>
          <w:sz w:val="24"/>
          <w:szCs w:val="24"/>
        </w:rPr>
        <w:t xml:space="preserve"> отвечает за то, какие настройки подберутся врачу когда он выставит диагноз.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Настройкой</w:t>
      </w:r>
      <w:r>
        <w:rPr>
          <w:rFonts w:ascii="Times New Roman" w:hAnsi="Times New Roman"/>
          <w:sz w:val="24"/>
          <w:szCs w:val="24"/>
        </w:rPr>
        <w:t xml:space="preserve"> в данном руководстве и в ПК Здравоохранение (АРМ Стоматолога) называется набор заранее заготовленных параметров относящихся к конкретному диагнозу/диагнозам и включает в себя: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Заполнение полей вкладки «Случай»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Заготовленные наборы (группы) услуг, отображаемые врачу при выборе диагноза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Текстовая форма, открывающаяся при сохранении случая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Алгоритм работы врача</w:t>
      </w:r>
      <w:r>
        <w:rPr>
          <w:rFonts w:ascii="Times New Roman" w:hAnsi="Times New Roman"/>
          <w:sz w:val="24"/>
          <w:szCs w:val="24"/>
        </w:rPr>
        <w:t xml:space="preserve"> при этом следующий (общий, возможны отступления в зависимости от видов оплаты/индивидуальных  особенностей МО):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Открыть АРМ Врача стоматолога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Найти пациента, которому нужно лечение, нажать кнопку «Лечение» (не «Первичный осмотр», именно «Лечение»)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Перейти на вкладку «Зубная формула», правой кнопкой выделить поверхности зубов которые подлежат к лечению, выбрать дефекты этих поверхностей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Нажать на зубной формуле ПКМ - «Добавить лечение»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Выставить диагноз в появившемся окне, после добавления диагноза выбрать настройку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Убрать чекбоксы с услуг, которые в данный момент не оказываются пациент</w:t>
      </w:r>
      <w:r>
        <w:rPr>
          <w:rFonts w:ascii="Times New Roman" w:hAnsi="Times New Roman"/>
          <w:sz w:val="24"/>
          <w:szCs w:val="24"/>
        </w:rPr>
        <w:t>у, нажать «Сохранить»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Перейти на вкладку «Случай», проверить заполнение полей, указать дополнительные параметры для услуг (некоторые услуги, к примеру постановка пломб, требуют номера зубов), нажать «Сохранить» на вкладке случай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При настроенной текстовой форме — заполнить и «Сохранить, подписать» текстовую форму соответствующей кнопкой.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Закрыть текстовую форму, нажать выход, перейти к следующему пациенту.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Heading3"/>
        <w:bidi w:val="0"/>
        <w:ind w:hanging="0" w:start="0"/>
        <w:jc w:val="start"/>
        <w:rPr/>
      </w:pPr>
      <w:bookmarkStart w:id="1" w:name="__RefHeading___Toc513_3881780629"/>
      <w:bookmarkEnd w:id="1"/>
      <w:r>
        <w:rPr/>
        <w:tab/>
        <w:t>2. Настройка пункта «Соотношения и ограничения»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соотношениях и ограничениях необходимо перейти во вкладку «Настройка специальностей» </w:t>
      </w:r>
      <w:r>
        <w:rPr>
          <w:rFonts w:ascii="Times New Roman" w:hAnsi="Times New Roman"/>
          <w:sz w:val="24"/>
          <w:szCs w:val="24"/>
        </w:rPr>
        <w:t>(рис. 2.1)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3500120"/>
            <wp:effectExtent l="0" t="0" r="0" b="0"/>
            <wp:wrapTopAndBottom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0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Рис. 2.1 — Внешний вид вкладки «Настройка специальностей». 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Тут на подвкладке «диагнозы» необходимо настроить для каждой стоматологической специальности. Если диагноз не будет входить в разрешенные — врач не сможет сохранить случай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Далее на подвкладке «Услуги» - настраиваем для каждой специальности стоматологической (стоматолог-хирург, зубной врач, стоматолог общей практики и т. д.) те услуги, которые врачи данной специальности смогут выполнять.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Важно — на вкладке услуг тип услуги должен быть УЕТ, никакие другие типы в АРМ Врача стоматолога отображаться не будут и наоборот — в поликлинике не видны стоматологические услуги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ing3"/>
        <w:bidi w:val="0"/>
        <w:ind w:hanging="0" w:start="0"/>
        <w:jc w:val="start"/>
        <w:rPr/>
      </w:pPr>
      <w:bookmarkStart w:id="2" w:name="__RefHeading___Toc515_3881780629"/>
      <w:bookmarkEnd w:id="2"/>
      <w:r>
        <w:rPr/>
        <w:tab/>
        <w:t>3. Настройка пункта «Настройка АРМ Врача стоматолога»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Настройка данного пункта состоит из двух основных шагов — настройка групп услуг (группы услуг можно миновать) и создание настроек.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Группы услуг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(рис 3.1)</w:t>
      </w:r>
      <w:r>
        <w:rPr>
          <w:rFonts w:ascii="Times New Roman" w:hAnsi="Times New Roman"/>
          <w:sz w:val="24"/>
          <w:szCs w:val="24"/>
        </w:rPr>
        <w:t xml:space="preserve"> — содержат в себе наборы услуг под разные случаи заболеваний. Объединять можно по различным признакам, к примеру создать группу «Обязательные услуги», которые есть в каждом случае, или же создавать группы под определенные диагнозы. Данный пункт можно миновать и настроить услуги отдельно под каждую настройку, но позже будет сложнее данный функционал перенастроить при необходимости.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00800" cy="3655695"/>
            <wp:effectExtent l="0" t="0" r="0" b="0"/>
            <wp:wrapTopAndBottom/>
            <wp:docPr id="2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5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Рис. 3.1 — группы услуг, пример уже настроенных групп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Добавление услуг в группы не гарантирует появление услуг у врачей — за это отвечает настройка из пункта 2, соотношения и ограничения. Т.е. в группе может быть 10 услуг, врачу доступна одна по соотношениям — в арме врача стоматолога он увидит лишь одну.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После добавления/удаления услуг либо групп услуг необходимо сохранить изменения по кнопке «Сохранить». Оповещения об успешном сохранении нет.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настраивается пункт «Настройка случая» </w:t>
      </w:r>
      <w:r>
        <w:rPr>
          <w:rFonts w:ascii="Times New Roman" w:hAnsi="Times New Roman"/>
          <w:sz w:val="24"/>
          <w:szCs w:val="24"/>
        </w:rPr>
        <w:t xml:space="preserve">(рис. 3.2). 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3806190"/>
            <wp:effectExtent l="0" t="0" r="0" b="0"/>
            <wp:wrapTopAndBottom/>
            <wp:docPr id="3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0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Рис. 3.2 Настройка случая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Наименование настроек</w:t>
      </w:r>
      <w:r>
        <w:rPr>
          <w:rFonts w:ascii="Times New Roman" w:hAnsi="Times New Roman"/>
          <w:sz w:val="24"/>
          <w:szCs w:val="24"/>
        </w:rPr>
        <w:t xml:space="preserve"> — добавление, изменение, удаление существующих настроек.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fill="FF4000" w:val="clear"/>
        </w:rPr>
        <w:t>ВАЖНО!!!!!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— в данном окне находятся настройки как вашей МО, так и других. Не удаляйте и не изменяйте ничего, поскольку это повлияет на работу других МО. Использование данных настроек возможно без их редактирования, желательно именовать настройки согласно вашему МО.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>Настройка полей случая для данной настройки</w:t>
      </w:r>
      <w:r>
        <w:rPr>
          <w:rFonts w:ascii="Times New Roman" w:hAnsi="Times New Roman"/>
          <w:sz w:val="24"/>
          <w:szCs w:val="24"/>
        </w:rPr>
        <w:t xml:space="preserve"> — для каждой отдельной настройки задается заполнение полей случая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 xml:space="preserve"> — в данной таблице возможно указание отдельных услуг для данной настройки. Т.е. это второй способ указать какие именно услуги будут доступны врачу при выборе данной настройки, помимо групп. Услуги добавляются по одной.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Группы услуг</w:t>
      </w:r>
      <w:r>
        <w:rPr>
          <w:rFonts w:ascii="Times New Roman" w:hAnsi="Times New Roman"/>
          <w:sz w:val="24"/>
          <w:szCs w:val="24"/>
        </w:rPr>
        <w:t xml:space="preserve"> — из пункта 3.1. Для добавления нескольких групп необходимо нажать стрелку вниз на клавиатуре. Удалить уже добавленную группу услуг на данный момент нельзя.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Текстовые формы</w:t>
      </w:r>
      <w:r>
        <w:rPr>
          <w:rFonts w:ascii="Times New Roman" w:hAnsi="Times New Roman"/>
          <w:sz w:val="24"/>
          <w:szCs w:val="24"/>
        </w:rPr>
        <w:t xml:space="preserve"> — позволяет указать какая текстовая форма будет открываться после сохранения на вкладке «Случай». Для успешного открытия формы у врача должен быть к ней доступ.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данный момент разработаны и утверждены две универсальные формы стоматологического приема: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Врачебный осмотр (стоматология)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Врачебный осмотр (стоматология) (А5)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Отличие в них в формате печати, а также в том что на А5 не печатается зубная формула.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ing3"/>
        <w:bidi w:val="0"/>
        <w:ind w:hanging="0" w:start="0"/>
        <w:jc w:val="start"/>
        <w:rPr/>
      </w:pPr>
      <w:bookmarkStart w:id="3" w:name="__RefHeading___Toc517_3881780629"/>
      <w:bookmarkEnd w:id="3"/>
      <w:r>
        <w:rPr/>
        <w:tab/>
        <w:t>4. Пример заполнения случая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 шагам: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>
        <w:rPr>
          <w:rFonts w:ascii="Times New Roman" w:hAnsi="Times New Roman"/>
          <w:sz w:val="24"/>
          <w:szCs w:val="24"/>
        </w:rPr>
        <w:t>Необходимо найти</w:t>
      </w:r>
      <w:r>
        <w:rPr>
          <w:rFonts w:ascii="Times New Roman" w:hAnsi="Times New Roman"/>
          <w:sz w:val="24"/>
          <w:szCs w:val="24"/>
        </w:rPr>
        <w:t xml:space="preserve"> пациента, </w:t>
      </w:r>
      <w:r>
        <w:rPr>
          <w:rFonts w:ascii="Times New Roman" w:hAnsi="Times New Roman"/>
          <w:sz w:val="24"/>
          <w:szCs w:val="24"/>
        </w:rPr>
        <w:t>записать</w:t>
      </w:r>
      <w:r>
        <w:rPr>
          <w:rFonts w:ascii="Times New Roman" w:hAnsi="Times New Roman"/>
          <w:sz w:val="24"/>
          <w:szCs w:val="24"/>
        </w:rPr>
        <w:t xml:space="preserve"> его на прием (либо </w:t>
      </w:r>
      <w:r>
        <w:rPr>
          <w:rFonts w:ascii="Times New Roman" w:hAnsi="Times New Roman"/>
          <w:sz w:val="24"/>
          <w:szCs w:val="24"/>
        </w:rPr>
        <w:t>найти</w:t>
      </w:r>
      <w:r>
        <w:rPr>
          <w:rFonts w:ascii="Times New Roman" w:hAnsi="Times New Roman"/>
          <w:sz w:val="24"/>
          <w:szCs w:val="24"/>
        </w:rPr>
        <w:t xml:space="preserve"> уже записанного в графике), </w:t>
      </w:r>
      <w:r>
        <w:rPr>
          <w:rFonts w:ascii="Times New Roman" w:hAnsi="Times New Roman"/>
          <w:sz w:val="24"/>
          <w:szCs w:val="24"/>
        </w:rPr>
        <w:t>нажать</w:t>
      </w:r>
      <w:r>
        <w:rPr>
          <w:rFonts w:ascii="Times New Roman" w:hAnsi="Times New Roman"/>
          <w:sz w:val="24"/>
          <w:szCs w:val="24"/>
        </w:rPr>
        <w:t xml:space="preserve"> на строку с фамилией пациента, затем </w:t>
      </w:r>
      <w:r>
        <w:rPr>
          <w:rFonts w:ascii="Times New Roman" w:hAnsi="Times New Roman"/>
          <w:sz w:val="24"/>
          <w:szCs w:val="24"/>
        </w:rPr>
        <w:t>кнопку</w:t>
      </w:r>
      <w:r>
        <w:rPr>
          <w:rFonts w:ascii="Times New Roman" w:hAnsi="Times New Roman"/>
          <w:sz w:val="24"/>
          <w:szCs w:val="24"/>
        </w:rPr>
        <w:t xml:space="preserve"> «лечение» </w:t>
      </w:r>
      <w:r>
        <w:rPr>
          <w:rFonts w:ascii="Times New Roman" w:hAnsi="Times New Roman"/>
          <w:sz w:val="24"/>
          <w:szCs w:val="24"/>
        </w:rPr>
        <w:t>(Рис. 4.1)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6645910" cy="6059805"/>
            <wp:effectExtent l="0" t="0" r="0" b="0"/>
            <wp:wrapTopAndBottom/>
            <wp:docPr id="4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5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Рис. 4.1 — Поиск и начало работы со случаем пациента.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Затем д</w:t>
      </w:r>
      <w:r>
        <w:rPr>
          <w:rFonts w:ascii="Times New Roman" w:hAnsi="Times New Roman"/>
          <w:sz w:val="24"/>
          <w:szCs w:val="24"/>
        </w:rPr>
        <w:t xml:space="preserve">олжна открыться вкладка «Зубная формула». Если она не открывается то на </w:t>
      </w:r>
      <w:r>
        <w:rPr>
          <w:rFonts w:ascii="Times New Roman" w:hAnsi="Times New Roman"/>
          <w:sz w:val="24"/>
          <w:szCs w:val="24"/>
        </w:rPr>
        <w:t>компьютере</w:t>
      </w:r>
      <w:r>
        <w:rPr>
          <w:rFonts w:ascii="Times New Roman" w:hAnsi="Times New Roman"/>
          <w:sz w:val="24"/>
          <w:szCs w:val="24"/>
        </w:rPr>
        <w:t xml:space="preserve"> врача необходимо нажать </w:t>
      </w:r>
      <w:r>
        <w:rPr>
          <w:rFonts w:ascii="Times New Roman" w:hAnsi="Times New Roman"/>
          <w:sz w:val="24"/>
          <w:szCs w:val="24"/>
          <w:lang w:val="en-US"/>
        </w:rPr>
        <w:t xml:space="preserve">F2 </w:t>
      </w:r>
      <w:r>
        <w:rPr>
          <w:rFonts w:ascii="Times New Roman" w:hAnsi="Times New Roman"/>
          <w:sz w:val="24"/>
          <w:szCs w:val="24"/>
          <w:lang w:val="ru-RU"/>
        </w:rPr>
        <w:t xml:space="preserve">и затем выбрать зубную формулу </w:t>
      </w:r>
      <w:r>
        <w:rPr>
          <w:rFonts w:ascii="Times New Roman" w:hAnsi="Times New Roman"/>
          <w:sz w:val="24"/>
          <w:szCs w:val="24"/>
          <w:lang w:val="ru-RU"/>
        </w:rPr>
        <w:t>(Рис. 4.2)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80100" cy="6749415"/>
            <wp:effectExtent l="0" t="0" r="0" b="0"/>
            <wp:wrapTopAndBottom/>
            <wp:docPr id="5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674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ru-RU"/>
        </w:rPr>
        <w:t xml:space="preserve">Рис. 4.2 — настройка открытия случая. </w:t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Затем на зубной формуле указываем проблемы/дефекты с помощью двойного клика </w:t>
      </w:r>
      <w:r>
        <w:rPr>
          <w:rFonts w:ascii="Times New Roman" w:hAnsi="Times New Roman"/>
          <w:sz w:val="24"/>
          <w:szCs w:val="24"/>
          <w:lang w:val="ru-RU"/>
        </w:rPr>
        <w:t>(рис 4.3)</w:t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6080760"/>
            <wp:effectExtent l="0" t="0" r="0" b="0"/>
            <wp:wrapTopAndBottom/>
            <wp:docPr id="6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8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ru-RU"/>
        </w:rPr>
        <w:t xml:space="preserve">Рис. 4.3 — указание проблемных поверхностей. </w:t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Затем нажимаем на зубную формулу правой клавишей, выбираем добавить лечение </w:t>
      </w:r>
      <w:r>
        <w:rPr>
          <w:rFonts w:ascii="Times New Roman" w:hAnsi="Times New Roman"/>
          <w:sz w:val="24"/>
          <w:szCs w:val="24"/>
          <w:lang w:val="ru-RU"/>
        </w:rPr>
        <w:t>(рис. 4.4)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1103630</wp:posOffset>
            </wp:positionH>
            <wp:positionV relativeFrom="paragraph">
              <wp:posOffset>173990</wp:posOffset>
            </wp:positionV>
            <wp:extent cx="4438650" cy="1657350"/>
            <wp:effectExtent l="0" t="0" r="0" b="0"/>
            <wp:wrapTopAndBottom/>
            <wp:docPr id="7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ru-RU"/>
        </w:rPr>
        <w:t>Рис 4.4 — добавление лечения</w:t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Открывается окно шаблонов лечения. Как раз эти шаблоны и настраиваются в пункте </w:t>
      </w:r>
      <w:r>
        <w:rPr>
          <w:rFonts w:ascii="Times New Roman" w:hAnsi="Times New Roman"/>
          <w:sz w:val="24"/>
          <w:szCs w:val="24"/>
          <w:lang w:val="ru-RU"/>
        </w:rPr>
        <w:t>3 (рис. 4.5)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5965825"/>
            <wp:effectExtent l="0" t="0" r="0" b="0"/>
            <wp:wrapTopAndBottom/>
            <wp:docPr id="8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6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ru-RU"/>
        </w:rPr>
        <w:t>Рис 4.5 — выбор настроек, зависящих от указанного диагноза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Если выбрать определенный шаблон а затем нажать сохранить — диагноз, услуги и заполнение полей, указанное в шаблоне перенесется на вкладку случай. Следующий шаг — перейти на вкладку «Случай». Также в данном примере было заполнено поле «Дата окончания лечения», чтобы случай сразу можно было закрыть.</w:t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Вкладка случай </w:t>
      </w:r>
      <w:r>
        <w:rPr>
          <w:rFonts w:ascii="Times New Roman" w:hAnsi="Times New Roman"/>
          <w:sz w:val="24"/>
          <w:szCs w:val="24"/>
          <w:lang w:val="ru-RU"/>
        </w:rPr>
        <w:t>(рис 4.6)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</w:p>
    <w:p>
      <w:pPr>
        <w:pStyle w:val="Normal"/>
        <w:bidi w:val="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  <w:lang w:val="ru-RU"/>
        </w:rPr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5910" cy="3980815"/>
            <wp:effectExtent l="0" t="0" r="0" b="0"/>
            <wp:wrapTopAndBottom/>
            <wp:docPr id="9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ru-RU"/>
        </w:rPr>
        <w:t>Рис. 4.6. — пример заполнения вкладки «Случай» в автоматическом режиме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На данной вкладке необходимо проверить правильность заполнения случая и нажать «Сохранить», либо «Сохранить и ЭМК».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После сохранения откроется настроенный в шаблоне протокол, который необходимо подписать и сохранить.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Style13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Style13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character" w:styleId="Style12">
    <w:name w:val="Ссылка указателя"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Style13"/>
    <w:pPr>
      <w:suppressLineNumbers/>
      <w:ind w:hanging="0" w:start="0"/>
    </w:pPr>
    <w:rPr>
      <w:b/>
      <w:bCs/>
      <w:sz w:val="32"/>
      <w:szCs w:val="32"/>
    </w:rPr>
  </w:style>
  <w:style w:type="paragraph" w:styleId="TOCHeading">
    <w:name w:val="TOC Heading"/>
    <w:basedOn w:val="IndexHeading"/>
    <w:qFormat/>
    <w:pPr>
      <w:suppressLineNumbers/>
      <w:ind w:hanging="0" w:start="0"/>
    </w:pPr>
    <w:rPr>
      <w:b/>
      <w:bCs/>
      <w:sz w:val="32"/>
      <w:szCs w:val="32"/>
    </w:rPr>
  </w:style>
  <w:style w:type="paragraph" w:styleId="TOC2">
    <w:name w:val="toc 2"/>
    <w:basedOn w:val="Style14"/>
    <w:pPr>
      <w:tabs>
        <w:tab w:val="clear" w:pos="709"/>
        <w:tab w:val="right" w:pos="10466" w:leader="dot"/>
      </w:tabs>
      <w:ind w:hanging="0" w:start="283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136</TotalTime>
  <Application>LibreOffice/24.8.0.3$Windows_X86_64 LibreOffice_project/0bdf1299c94fe897b119f97f3c613e9dca6be583</Application>
  <AppVersion>15.0000</AppVersion>
  <Pages>9</Pages>
  <Words>961</Words>
  <Characters>6062</Characters>
  <CharactersWithSpaces>7028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2024-11-27T16:14:58Z</dcterms:created>
  <dc:creator/>
  <dc:description/>
  <dc:language>ru-RU</dc:language>
  <cp:lastModifiedBy/>
  <dcterms:modified xsi:type="dcterms:W3CDTF">2025-01-17T17:15:07Z</dcterms:modified>
  <cp:revision>5</cp:revision>
  <dc:subject/>
  <dc:title/>
</cp:coreProperties>
</file>